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A06D" w14:textId="77777777" w:rsidR="00A94862" w:rsidRPr="00FC6336" w:rsidRDefault="00A94862" w:rsidP="00A94862">
      <w:pPr>
        <w:spacing w:after="0" w:line="240" w:lineRule="auto"/>
        <w:jc w:val="center"/>
        <w:rPr>
          <w:b/>
          <w:bCs/>
        </w:rPr>
      </w:pPr>
      <w:bookmarkStart w:id="0" w:name="_heading=h.gjdgxs" w:colFirst="0" w:colLast="0"/>
      <w:bookmarkEnd w:id="0"/>
      <w:r w:rsidRPr="00FC6336">
        <w:rPr>
          <w:b/>
          <w:bCs/>
        </w:rPr>
        <w:t>REGULAMENTO DA CAMPANHA AQUISIÇÃO: 100 mil pontos bônus</w:t>
      </w:r>
    </w:p>
    <w:p w14:paraId="560731D7" w14:textId="77777777" w:rsidR="00A94862" w:rsidRPr="00FC6336" w:rsidRDefault="00A94862" w:rsidP="00A94862">
      <w:pPr>
        <w:spacing w:after="0" w:line="240" w:lineRule="auto"/>
        <w:jc w:val="center"/>
        <w:rPr>
          <w:b/>
          <w:bCs/>
        </w:rPr>
      </w:pPr>
      <w:r w:rsidRPr="00FC6336">
        <w:rPr>
          <w:b/>
          <w:bCs/>
        </w:rPr>
        <w:t>(“Regulamento”)</w:t>
      </w:r>
      <w:r w:rsidRPr="00FC6336">
        <w:rPr>
          <w:b/>
          <w:bCs/>
        </w:rPr>
        <w:br/>
      </w:r>
    </w:p>
    <w:p w14:paraId="6D0FE071" w14:textId="77777777" w:rsidR="00A94862" w:rsidRPr="00FC6336" w:rsidRDefault="00A94862" w:rsidP="00A94862">
      <w:pPr>
        <w:spacing w:after="0" w:line="240" w:lineRule="auto"/>
        <w:jc w:val="both"/>
        <w:rPr>
          <w:b/>
          <w:bCs/>
        </w:rPr>
      </w:pPr>
    </w:p>
    <w:p w14:paraId="15223901" w14:textId="77777777" w:rsidR="00A94862" w:rsidRPr="00FC6336" w:rsidRDefault="00A94862" w:rsidP="00A94862">
      <w:pPr>
        <w:spacing w:after="0" w:line="240" w:lineRule="auto"/>
        <w:jc w:val="both"/>
        <w:rPr>
          <w:b/>
          <w:bCs/>
        </w:rPr>
      </w:pPr>
      <w:r w:rsidRPr="00FC6336">
        <w:rPr>
          <w:b/>
          <w:bCs/>
        </w:rPr>
        <w:t>1. Campanha</w:t>
      </w:r>
    </w:p>
    <w:p w14:paraId="5CF188D8" w14:textId="77777777" w:rsidR="00A94862" w:rsidRPr="00FC6336" w:rsidRDefault="00A94862" w:rsidP="00A94862">
      <w:pPr>
        <w:spacing w:after="0" w:line="240" w:lineRule="auto"/>
        <w:jc w:val="both"/>
        <w:rPr>
          <w:b/>
          <w:bCs/>
        </w:rPr>
      </w:pPr>
    </w:p>
    <w:p w14:paraId="391BAA20" w14:textId="77777777" w:rsidR="00A94862" w:rsidRPr="00FC6336" w:rsidRDefault="00A94862" w:rsidP="00A94862">
      <w:pPr>
        <w:jc w:val="both"/>
      </w:pPr>
      <w:r w:rsidRPr="00FC6336">
        <w:t xml:space="preserve">1.1 </w:t>
      </w:r>
      <w:r>
        <w:t xml:space="preserve">A campanha é realizada por </w:t>
      </w:r>
      <w:r w:rsidRPr="003748F8">
        <w:t>Azul Linhas Aéreas Brasileiras S.A.</w:t>
      </w:r>
      <w:r>
        <w:t xml:space="preserve">, inscrita no </w:t>
      </w:r>
      <w:r w:rsidRPr="003748F8">
        <w:t>CNPJ</w:t>
      </w:r>
      <w:r>
        <w:t xml:space="preserve"> sob o número</w:t>
      </w:r>
      <w:r w:rsidRPr="003748F8">
        <w:t xml:space="preserve"> 09.296.295/0001-60</w:t>
      </w:r>
      <w:r>
        <w:t xml:space="preserve">. </w:t>
      </w:r>
      <w:r w:rsidRPr="00FC6336">
        <w:t xml:space="preserve">Regulamento </w:t>
      </w:r>
      <w:r>
        <w:t xml:space="preserve">faz parte integrante do Contrato de Cartão de Crédito e </w:t>
      </w:r>
      <w:r w:rsidRPr="00FC6336">
        <w:t>estabelece as condições específicas aplicáveis à campanha Aquisição Cartão Azul Itaú, que concederá 100.000 (cem mil) pontos bônus ao cliente que atingir a meta de gastos</w:t>
      </w:r>
      <w:r>
        <w:t xml:space="preserve"> estabelecida</w:t>
      </w:r>
      <w:r w:rsidRPr="00FC6336">
        <w:t xml:space="preserve"> (“Bonificação”).</w:t>
      </w:r>
    </w:p>
    <w:p w14:paraId="755A576D" w14:textId="77777777" w:rsidR="00A94862" w:rsidRPr="00FC6336" w:rsidRDefault="00A94862" w:rsidP="00A94862">
      <w:pPr>
        <w:pBdr>
          <w:top w:val="nil"/>
          <w:left w:val="nil"/>
          <w:bottom w:val="nil"/>
          <w:right w:val="nil"/>
          <w:between w:val="nil"/>
        </w:pBdr>
        <w:spacing w:after="0" w:line="240" w:lineRule="auto"/>
        <w:jc w:val="both"/>
      </w:pPr>
    </w:p>
    <w:p w14:paraId="25D8ED94" w14:textId="77777777" w:rsidR="00A94862" w:rsidRPr="00FC6336" w:rsidRDefault="00A94862" w:rsidP="00A94862">
      <w:pPr>
        <w:jc w:val="both"/>
        <w:rPr>
          <w:b/>
          <w:bCs/>
        </w:rPr>
      </w:pPr>
      <w:r w:rsidRPr="00FC6336">
        <w:rPr>
          <w:b/>
          <w:bCs/>
        </w:rPr>
        <w:t>2. Informações gerais:</w:t>
      </w:r>
    </w:p>
    <w:p w14:paraId="0E1F1FB5" w14:textId="77777777" w:rsidR="00A94862" w:rsidRPr="00FC6336" w:rsidRDefault="00A94862" w:rsidP="00A94862">
      <w:pPr>
        <w:jc w:val="both"/>
        <w:rPr>
          <w:b/>
          <w:bCs/>
        </w:rPr>
      </w:pPr>
      <w:r w:rsidRPr="00FC6336">
        <w:rPr>
          <w:b/>
          <w:bCs/>
        </w:rPr>
        <w:t>2.1.</w:t>
      </w:r>
      <w:r w:rsidRPr="00FC6336">
        <w:t xml:space="preserve"> </w:t>
      </w:r>
      <w:r w:rsidRPr="00FC6336">
        <w:rPr>
          <w:b/>
          <w:bCs/>
        </w:rPr>
        <w:t>Período da Campanha</w:t>
      </w:r>
      <w:r w:rsidRPr="00FC6336">
        <w:t>: A partir de 00h00 de 22/04/2026 até 23h59 de 29/04/2026.</w:t>
      </w:r>
    </w:p>
    <w:p w14:paraId="5B102D88" w14:textId="77777777" w:rsidR="00A94862" w:rsidRPr="00FC6336" w:rsidRDefault="00A94862" w:rsidP="00A94862">
      <w:pPr>
        <w:jc w:val="both"/>
      </w:pPr>
      <w:r w:rsidRPr="00FC6336">
        <w:rPr>
          <w:b/>
          <w:bCs/>
        </w:rPr>
        <w:t>2.2 Participação:</w:t>
      </w:r>
      <w:r w:rsidRPr="00FC6336">
        <w:t xml:space="preserve"> </w:t>
      </w:r>
      <w:r w:rsidRPr="00FC6336">
        <w:rPr>
          <w:highlight w:val="white"/>
        </w:rPr>
        <w:t>A participação nesta Campanha será voluntária e gratuita, disponível aos Clientes maiores de 18 anos, residentes e domiciliados em território e observarem as regras do presente Regulamento (“</w:t>
      </w:r>
      <w:r w:rsidRPr="00FC6336">
        <w:rPr>
          <w:b/>
          <w:bCs/>
          <w:highlight w:val="white"/>
        </w:rPr>
        <w:t>Clientes</w:t>
      </w:r>
      <w:r w:rsidRPr="00FC6336">
        <w:rPr>
          <w:highlight w:val="white"/>
        </w:rPr>
        <w:t>” ou “</w:t>
      </w:r>
      <w:r w:rsidRPr="00FC6336">
        <w:rPr>
          <w:b/>
          <w:bCs/>
          <w:highlight w:val="white"/>
        </w:rPr>
        <w:t>Participantes</w:t>
      </w:r>
      <w:r w:rsidRPr="00FC6336">
        <w:rPr>
          <w:highlight w:val="white"/>
        </w:rPr>
        <w:t>”).</w:t>
      </w:r>
    </w:p>
    <w:p w14:paraId="16AF9EE3" w14:textId="77777777" w:rsidR="00A94862" w:rsidRPr="00FC6336" w:rsidRDefault="00A94862" w:rsidP="00A94862">
      <w:pPr>
        <w:jc w:val="both"/>
      </w:pPr>
      <w:r w:rsidRPr="00FC6336">
        <w:rPr>
          <w:b/>
          <w:bCs/>
        </w:rPr>
        <w:t>2.3.</w:t>
      </w:r>
      <w:r w:rsidRPr="00FC6336">
        <w:t xml:space="preserve"> </w:t>
      </w:r>
      <w:r w:rsidRPr="00FC6336">
        <w:rPr>
          <w:b/>
          <w:bCs/>
        </w:rPr>
        <w:t>Variantes elegíveis</w:t>
      </w:r>
      <w:r w:rsidRPr="00FC6336">
        <w:t>: Cartão Azul Itaú Mastercard Skyline e Cartão Azul Itaú Visa Infinite</w:t>
      </w:r>
    </w:p>
    <w:p w14:paraId="6A6F3431" w14:textId="77777777" w:rsidR="00A94862" w:rsidRPr="00FC6336" w:rsidRDefault="00A94862" w:rsidP="00A94862">
      <w:pPr>
        <w:jc w:val="both"/>
      </w:pPr>
      <w:r w:rsidRPr="00FC6336">
        <w:rPr>
          <w:b/>
          <w:bCs/>
        </w:rPr>
        <w:t xml:space="preserve">2.4. Bonificação: </w:t>
      </w:r>
      <w:r w:rsidRPr="00FC6336">
        <w:t xml:space="preserve">100.000 (cem) mil Pontos Bônus para quem contratar o cartão </w:t>
      </w:r>
      <w:proofErr w:type="spellStart"/>
      <w:r w:rsidRPr="00FC6336">
        <w:t>Cartão</w:t>
      </w:r>
      <w:proofErr w:type="spellEnd"/>
      <w:r w:rsidRPr="00FC6336">
        <w:t xml:space="preserve"> Azul Itaú Mastercard Skyline </w:t>
      </w:r>
      <w:r>
        <w:t>ou o</w:t>
      </w:r>
      <w:r w:rsidRPr="00FC6336">
        <w:t xml:space="preserve"> cartão Cartão Azul Itaú Visa Infinite</w:t>
      </w:r>
      <w:r>
        <w:t>, desde que a contratação seja feita dentro do período estabelecido e conforme as regras definidas neste Regulamento.</w:t>
      </w:r>
    </w:p>
    <w:p w14:paraId="473231D0" w14:textId="77777777" w:rsidR="00A94862" w:rsidRPr="00FC6336" w:rsidRDefault="00A94862" w:rsidP="00A94862">
      <w:pPr>
        <w:jc w:val="both"/>
      </w:pPr>
    </w:p>
    <w:p w14:paraId="6BADD59F" w14:textId="77777777" w:rsidR="00A94862" w:rsidRPr="00FC6336" w:rsidRDefault="00A94862" w:rsidP="00A94862">
      <w:pPr>
        <w:jc w:val="both"/>
        <w:rPr>
          <w:b/>
          <w:bCs/>
        </w:rPr>
      </w:pPr>
      <w:r w:rsidRPr="00FC6336">
        <w:rPr>
          <w:b/>
          <w:bCs/>
        </w:rPr>
        <w:t xml:space="preserve">3. Mecânica da Campanha: </w:t>
      </w:r>
    </w:p>
    <w:p w14:paraId="06E92588" w14:textId="77777777" w:rsidR="00A94862" w:rsidRPr="00FC6336" w:rsidRDefault="00A94862" w:rsidP="00A94862">
      <w:pPr>
        <w:spacing w:after="0" w:line="240" w:lineRule="auto"/>
        <w:jc w:val="both"/>
      </w:pPr>
      <w:r w:rsidRPr="00FC6336">
        <w:t>3.1. Esta Campanha é válida para Clientes que cumprirem os requisitos abaixo:</w:t>
      </w:r>
    </w:p>
    <w:p w14:paraId="3951941E" w14:textId="77777777" w:rsidR="00A94862" w:rsidRPr="00FC6336" w:rsidRDefault="00A94862" w:rsidP="00A94862">
      <w:pPr>
        <w:spacing w:after="0" w:line="240" w:lineRule="auto"/>
        <w:jc w:val="both"/>
      </w:pPr>
    </w:p>
    <w:p w14:paraId="09AC2835" w14:textId="77777777" w:rsidR="00A94862" w:rsidRPr="00FC6336" w:rsidRDefault="00A94862" w:rsidP="00A94862">
      <w:pPr>
        <w:numPr>
          <w:ilvl w:val="0"/>
          <w:numId w:val="1"/>
        </w:numPr>
        <w:pBdr>
          <w:top w:val="nil"/>
          <w:left w:val="nil"/>
          <w:bottom w:val="nil"/>
          <w:right w:val="nil"/>
          <w:between w:val="nil"/>
        </w:pBdr>
        <w:spacing w:after="0" w:line="240" w:lineRule="auto"/>
        <w:jc w:val="both"/>
        <w:rPr>
          <w:color w:val="000000"/>
        </w:rPr>
      </w:pPr>
      <w:r w:rsidRPr="00FC6336">
        <w:rPr>
          <w:color w:val="000000"/>
        </w:rPr>
        <w:t>Contratarem o cartão Azul Itaú Mastercard Skyline ou cartão Azul Itaú Visa Infinite, entre às 00h do dia 22 de abril de 2026 até às 23h59 do dia 29 de abril de 2026, horário oficial de Brasília (“Período da Campanha”);</w:t>
      </w:r>
    </w:p>
    <w:p w14:paraId="2C8F1C8C" w14:textId="0D80AF6C" w:rsidR="00A94862" w:rsidRPr="00FC6336" w:rsidRDefault="00A94862" w:rsidP="00A94862">
      <w:pPr>
        <w:numPr>
          <w:ilvl w:val="0"/>
          <w:numId w:val="1"/>
        </w:numPr>
        <w:pBdr>
          <w:top w:val="nil"/>
          <w:left w:val="nil"/>
          <w:bottom w:val="nil"/>
          <w:right w:val="nil"/>
          <w:between w:val="nil"/>
        </w:pBdr>
        <w:spacing w:after="0" w:line="240" w:lineRule="auto"/>
        <w:jc w:val="both"/>
        <w:rPr>
          <w:rFonts w:eastAsia="Aptos"/>
          <w:color w:val="000000"/>
        </w:rPr>
      </w:pPr>
      <w:r w:rsidRPr="00FC6336">
        <w:rPr>
          <w:color w:val="000000"/>
        </w:rPr>
        <w:t xml:space="preserve">Tiverem os respectivos cartões aprovados e emitidos pelo Banco Itaú até às 23h59, horário oficial de Brasília, do dia </w:t>
      </w:r>
      <w:r w:rsidR="00CF4E22">
        <w:rPr>
          <w:color w:val="000000"/>
        </w:rPr>
        <w:t>13</w:t>
      </w:r>
      <w:r>
        <w:rPr>
          <w:color w:val="000000"/>
        </w:rPr>
        <w:t>/05</w:t>
      </w:r>
      <w:r w:rsidRPr="00FC6336">
        <w:rPr>
          <w:color w:val="000000"/>
        </w:rPr>
        <w:t xml:space="preserve"> de 2026;</w:t>
      </w:r>
    </w:p>
    <w:p w14:paraId="0946EF8B" w14:textId="77777777" w:rsidR="00A94862" w:rsidRPr="00FC6336" w:rsidRDefault="00A94862" w:rsidP="00A94862">
      <w:pPr>
        <w:numPr>
          <w:ilvl w:val="0"/>
          <w:numId w:val="1"/>
        </w:numPr>
        <w:pBdr>
          <w:top w:val="nil"/>
          <w:left w:val="nil"/>
          <w:bottom w:val="nil"/>
          <w:right w:val="nil"/>
          <w:between w:val="nil"/>
        </w:pBdr>
        <w:spacing w:after="0" w:line="240" w:lineRule="auto"/>
        <w:jc w:val="both"/>
        <w:rPr>
          <w:rFonts w:eastAsia="Aptos"/>
          <w:color w:val="000000"/>
        </w:rPr>
      </w:pPr>
      <w:r w:rsidRPr="00FC6336">
        <w:rPr>
          <w:color w:val="000000"/>
        </w:rPr>
        <w:t>Ativarem e realizarem a primeira compra com o cartão em até 60 dias após a contratação; e</w:t>
      </w:r>
    </w:p>
    <w:p w14:paraId="01606252" w14:textId="77777777" w:rsidR="00A94862" w:rsidRPr="00FC6336" w:rsidRDefault="00A94862" w:rsidP="00A94862">
      <w:pPr>
        <w:numPr>
          <w:ilvl w:val="0"/>
          <w:numId w:val="1"/>
        </w:numPr>
        <w:pBdr>
          <w:top w:val="nil"/>
          <w:left w:val="nil"/>
          <w:bottom w:val="nil"/>
          <w:right w:val="nil"/>
          <w:between w:val="nil"/>
        </w:pBdr>
        <w:spacing w:after="0" w:line="240" w:lineRule="auto"/>
        <w:jc w:val="both"/>
        <w:rPr>
          <w:rFonts w:eastAsia="Aptos"/>
          <w:color w:val="000000"/>
        </w:rPr>
      </w:pPr>
      <w:r w:rsidRPr="00FC6336">
        <w:rPr>
          <w:color w:val="000000"/>
        </w:rPr>
        <w:t xml:space="preserve">Atingirem a meta de gastos abaixo estipulada </w:t>
      </w:r>
      <w:r>
        <w:rPr>
          <w:color w:val="000000"/>
        </w:rPr>
        <w:t>no item 3.2 na somatória</w:t>
      </w:r>
      <w:r w:rsidRPr="00FC6336">
        <w:rPr>
          <w:color w:val="000000"/>
        </w:rPr>
        <w:t xml:space="preserve"> </w:t>
      </w:r>
      <w:r>
        <w:rPr>
          <w:color w:val="000000"/>
        </w:rPr>
        <w:t>d</w:t>
      </w:r>
      <w:r w:rsidRPr="00FC6336">
        <w:rPr>
          <w:color w:val="000000"/>
        </w:rPr>
        <w:t>as 03 (três) primeiras faturas</w:t>
      </w:r>
    </w:p>
    <w:p w14:paraId="69A88774" w14:textId="77777777" w:rsidR="00A94862" w:rsidRPr="00FC6336" w:rsidRDefault="00A94862" w:rsidP="00A94862">
      <w:pPr>
        <w:jc w:val="both"/>
      </w:pPr>
    </w:p>
    <w:p w14:paraId="016158AB" w14:textId="77777777" w:rsidR="00A94862" w:rsidRPr="00FC6336" w:rsidRDefault="00A94862" w:rsidP="00A94862">
      <w:pPr>
        <w:spacing w:after="0" w:line="240" w:lineRule="auto"/>
        <w:jc w:val="both"/>
        <w:rPr>
          <w:b/>
          <w:bCs/>
        </w:rPr>
      </w:pPr>
      <w:r w:rsidRPr="00FC6336">
        <w:rPr>
          <w:b/>
          <w:bCs/>
        </w:rPr>
        <w:t xml:space="preserve">*Apenas os Clientes que cumprirem </w:t>
      </w:r>
      <w:r>
        <w:rPr>
          <w:b/>
          <w:bCs/>
        </w:rPr>
        <w:t>todos os</w:t>
      </w:r>
      <w:r w:rsidRPr="00FC6336">
        <w:rPr>
          <w:b/>
          <w:bCs/>
        </w:rPr>
        <w:t xml:space="preserve"> requisitos </w:t>
      </w:r>
      <w:r>
        <w:rPr>
          <w:b/>
          <w:bCs/>
        </w:rPr>
        <w:t>indicados acima serão elegíveis ao recebimento da Bonificação</w:t>
      </w:r>
      <w:r w:rsidRPr="00FC6336">
        <w:rPr>
          <w:b/>
          <w:bCs/>
        </w:rPr>
        <w:t xml:space="preserve">. </w:t>
      </w:r>
    </w:p>
    <w:p w14:paraId="0E9349CD" w14:textId="77777777" w:rsidR="00A94862" w:rsidRPr="00FC6336" w:rsidRDefault="00A94862" w:rsidP="00A94862">
      <w:pPr>
        <w:spacing w:after="0" w:line="240" w:lineRule="auto"/>
        <w:jc w:val="both"/>
      </w:pPr>
    </w:p>
    <w:p w14:paraId="4383015C" w14:textId="77777777" w:rsidR="00A94862" w:rsidRPr="00FC6336" w:rsidRDefault="00A94862" w:rsidP="00A94862">
      <w:pPr>
        <w:spacing w:after="0" w:line="240" w:lineRule="auto"/>
        <w:jc w:val="both"/>
        <w:rPr>
          <w:b/>
          <w:bCs/>
          <w:u w:val="single"/>
        </w:rPr>
      </w:pPr>
      <w:r w:rsidRPr="00FC6336">
        <w:rPr>
          <w:b/>
          <w:bCs/>
        </w:rPr>
        <w:t xml:space="preserve">3.2. </w:t>
      </w:r>
      <w:r w:rsidRPr="00FC6336">
        <w:rPr>
          <w:b/>
          <w:bCs/>
          <w:u w:val="single"/>
        </w:rPr>
        <w:t>Meta de gastos e volume de Pontos</w:t>
      </w:r>
    </w:p>
    <w:p w14:paraId="13D7FB22" w14:textId="77777777" w:rsidR="00A94862" w:rsidRPr="00FC6336" w:rsidRDefault="00A94862" w:rsidP="00A94862">
      <w:pPr>
        <w:spacing w:after="0" w:line="240" w:lineRule="auto"/>
        <w:jc w:val="both"/>
        <w:rPr>
          <w:u w:val="single"/>
        </w:rPr>
      </w:pPr>
    </w:p>
    <w:p w14:paraId="5FC9F4E8" w14:textId="77777777" w:rsidR="00A94862" w:rsidRPr="00FC6336" w:rsidRDefault="00A94862" w:rsidP="00A94862">
      <w:pPr>
        <w:numPr>
          <w:ilvl w:val="0"/>
          <w:numId w:val="2"/>
        </w:numPr>
        <w:pBdr>
          <w:top w:val="nil"/>
          <w:left w:val="nil"/>
          <w:bottom w:val="nil"/>
          <w:right w:val="nil"/>
          <w:between w:val="nil"/>
        </w:pBdr>
        <w:spacing w:after="0" w:line="240" w:lineRule="auto"/>
        <w:jc w:val="both"/>
        <w:rPr>
          <w:rFonts w:eastAsia="Aptos"/>
          <w:color w:val="000000"/>
        </w:rPr>
      </w:pPr>
      <w:r w:rsidRPr="00FC6336">
        <w:rPr>
          <w:b/>
          <w:bCs/>
          <w:color w:val="000000"/>
        </w:rPr>
        <w:lastRenderedPageBreak/>
        <w:t>Cartão Azul Itaú Mastercard Skyline</w:t>
      </w:r>
      <w:r>
        <w:rPr>
          <w:b/>
          <w:bCs/>
          <w:color w:val="000000"/>
        </w:rPr>
        <w:t xml:space="preserve"> e Visa Infinite</w:t>
      </w:r>
      <w:r w:rsidRPr="00FC6336">
        <w:rPr>
          <w:b/>
          <w:bCs/>
          <w:color w:val="000000"/>
        </w:rPr>
        <w:t>:</w:t>
      </w:r>
      <w:r w:rsidRPr="00FC6336">
        <w:rPr>
          <w:color w:val="000000"/>
        </w:rPr>
        <w:t xml:space="preserve"> a meta de gastos é de R$60.000 (sessenta mil reais) somando o valor das 03 (três) primeiras faturas e </w:t>
      </w:r>
      <w:r>
        <w:rPr>
          <w:color w:val="000000"/>
        </w:rPr>
        <w:t>a Bonificação é</w:t>
      </w:r>
      <w:r w:rsidRPr="00FC6336">
        <w:rPr>
          <w:color w:val="000000"/>
        </w:rPr>
        <w:t xml:space="preserve"> de 100.000 (cem) mil pontos bônus.</w:t>
      </w:r>
    </w:p>
    <w:p w14:paraId="61C552E7" w14:textId="77777777" w:rsidR="00A94862" w:rsidRDefault="00A94862" w:rsidP="00A94862">
      <w:pPr>
        <w:pBdr>
          <w:top w:val="nil"/>
          <w:left w:val="nil"/>
          <w:bottom w:val="nil"/>
          <w:right w:val="nil"/>
          <w:between w:val="nil"/>
        </w:pBdr>
        <w:spacing w:after="0" w:line="240" w:lineRule="auto"/>
        <w:ind w:left="1003"/>
        <w:jc w:val="both"/>
        <w:rPr>
          <w:rFonts w:eastAsia="Aptos"/>
          <w:color w:val="000000"/>
        </w:rPr>
      </w:pPr>
    </w:p>
    <w:p w14:paraId="6A0A53F6" w14:textId="77777777" w:rsidR="00A94862" w:rsidRPr="003748F8" w:rsidRDefault="00A94862" w:rsidP="00A94862">
      <w:pPr>
        <w:spacing w:after="0" w:line="240" w:lineRule="auto"/>
        <w:jc w:val="both"/>
      </w:pPr>
      <w:r w:rsidRPr="00FC6336">
        <w:t>Exemplo: o cliente que é titular de um cartão Azul Itaú Mastercard Skyline ou Visa Infinite e gastou R$ 10.000,00 (dez mil reais) na 1ª fatura + R$ 20.000,00 (vinte mil reais) na 2ª fatura + R$ 30.000,00 (trinta mil reais) na 3ª fatura receberá 100.000 (</w:t>
      </w:r>
      <w:r>
        <w:t>cem</w:t>
      </w:r>
      <w:r w:rsidRPr="00FC6336">
        <w:t xml:space="preserve"> mil) pontos bônus, pois cumpriu a meta de gastos de R$60.000,00 (sessenta mil reais).</w:t>
      </w:r>
    </w:p>
    <w:p w14:paraId="294401B9" w14:textId="77777777" w:rsidR="00A94862" w:rsidRDefault="00A94862" w:rsidP="00A94862">
      <w:pPr>
        <w:spacing w:after="0" w:line="240" w:lineRule="auto"/>
        <w:jc w:val="both"/>
      </w:pPr>
    </w:p>
    <w:p w14:paraId="2F1106DF" w14:textId="024AD255" w:rsidR="00B00B7A" w:rsidRDefault="00A94862" w:rsidP="00A94862">
      <w:pPr>
        <w:spacing w:after="0" w:line="240" w:lineRule="auto"/>
        <w:jc w:val="both"/>
      </w:pPr>
      <w:r w:rsidRPr="003748F8">
        <w:rPr>
          <w:b/>
          <w:bCs/>
        </w:rPr>
        <w:t>3.2.1</w:t>
      </w:r>
      <w:r w:rsidRPr="00FC6336">
        <w:t xml:space="preserve"> A </w:t>
      </w:r>
      <w:r>
        <w:t>B</w:t>
      </w:r>
      <w:r w:rsidRPr="00FC6336">
        <w:t>onificação será concedida em até 60 (sessenta) dias após o pagamento integral da 3ª fatura, desde que as 3 (três) primeiras faturas sejam pagas integralmente e até a respectiva data de vencimento.</w:t>
      </w:r>
      <w:r w:rsidR="00BA524C">
        <w:t xml:space="preserve"> </w:t>
      </w:r>
      <w:r w:rsidR="00B00B7A" w:rsidRPr="00B00B7A">
        <w:t>A validade dos pontos</w:t>
      </w:r>
      <w:r w:rsidR="00B00B7A">
        <w:t xml:space="preserve"> bônus</w:t>
      </w:r>
      <w:r w:rsidR="00B00B7A" w:rsidRPr="00B00B7A">
        <w:t xml:space="preserve"> dos cartões Azul Itaú Visa Infinite e Azul Itaú Mastercard Skyline </w:t>
      </w:r>
      <w:r w:rsidR="00B00B7A">
        <w:t xml:space="preserve">não </w:t>
      </w:r>
      <w:r w:rsidR="00B00B7A" w:rsidRPr="00B00B7A">
        <w:t xml:space="preserve">terá prazo </w:t>
      </w:r>
      <w:r w:rsidR="00B00B7A">
        <w:t xml:space="preserve">de vencimento, </w:t>
      </w:r>
      <w:r w:rsidR="00B00B7A" w:rsidRPr="00B00B7A">
        <w:t>desde que o cartão esteja ativo. Caso o cartão seja cancelado, os pontos passam a ter uma validade de 24 meses após o crédito dos mesmos. </w:t>
      </w:r>
    </w:p>
    <w:p w14:paraId="581635A9" w14:textId="77777777" w:rsidR="00A94862" w:rsidRDefault="00A94862" w:rsidP="00A94862">
      <w:pPr>
        <w:spacing w:after="0" w:line="240" w:lineRule="auto"/>
        <w:jc w:val="both"/>
      </w:pPr>
    </w:p>
    <w:p w14:paraId="67157ABF" w14:textId="77777777" w:rsidR="00A94862" w:rsidRPr="00673F57" w:rsidRDefault="00A94862" w:rsidP="00A94862">
      <w:pPr>
        <w:spacing w:after="0" w:line="240" w:lineRule="auto"/>
        <w:jc w:val="both"/>
        <w:rPr>
          <w:b/>
          <w:bCs/>
        </w:rPr>
      </w:pPr>
      <w:r>
        <w:rPr>
          <w:b/>
          <w:bCs/>
        </w:rPr>
        <w:t>*</w:t>
      </w:r>
      <w:r w:rsidRPr="00673F57">
        <w:rPr>
          <w:b/>
          <w:bCs/>
        </w:rPr>
        <w:t xml:space="preserve">Importante: Clientes que contratarem </w:t>
      </w:r>
      <w:r>
        <w:rPr>
          <w:b/>
          <w:bCs/>
        </w:rPr>
        <w:t xml:space="preserve">os cartões </w:t>
      </w:r>
      <w:r w:rsidRPr="00673F57">
        <w:rPr>
          <w:b/>
          <w:bCs/>
        </w:rPr>
        <w:t xml:space="preserve">fora do período da campanha </w:t>
      </w:r>
      <w:r>
        <w:rPr>
          <w:b/>
          <w:bCs/>
        </w:rPr>
        <w:t>(</w:t>
      </w:r>
      <w:r w:rsidRPr="00673F57">
        <w:rPr>
          <w:b/>
          <w:bCs/>
          <w:color w:val="000000"/>
        </w:rPr>
        <w:t>entre às 00h do dia 22 de abril de 2026 até às 23h59 do dia 29 de abril de 2026</w:t>
      </w:r>
      <w:r>
        <w:rPr>
          <w:b/>
          <w:bCs/>
        </w:rPr>
        <w:t>) não serão elegíveis à Bonificação de 100.000 Pontos Bônus da campanha</w:t>
      </w:r>
    </w:p>
    <w:p w14:paraId="3E12CFDF" w14:textId="77777777" w:rsidR="00A94862" w:rsidRPr="00FC6336" w:rsidRDefault="00A94862" w:rsidP="00A94862">
      <w:pPr>
        <w:spacing w:after="0" w:line="240" w:lineRule="auto"/>
        <w:jc w:val="both"/>
      </w:pPr>
    </w:p>
    <w:p w14:paraId="72BD79B9" w14:textId="77777777" w:rsidR="00A94862" w:rsidRPr="00FC6336" w:rsidRDefault="00A94862" w:rsidP="00A94862">
      <w:pPr>
        <w:tabs>
          <w:tab w:val="left" w:pos="284"/>
        </w:tabs>
        <w:spacing w:after="0" w:line="240" w:lineRule="auto"/>
        <w:jc w:val="both"/>
        <w:rPr>
          <w:b/>
          <w:bCs/>
        </w:rPr>
      </w:pPr>
      <w:r w:rsidRPr="00FC6336">
        <w:rPr>
          <w:b/>
          <w:bCs/>
        </w:rPr>
        <w:t xml:space="preserve">4. </w:t>
      </w:r>
      <w:r>
        <w:rPr>
          <w:b/>
          <w:bCs/>
        </w:rPr>
        <w:t>Inelegibilidade</w:t>
      </w:r>
      <w:r w:rsidRPr="00FC6336">
        <w:rPr>
          <w:b/>
          <w:bCs/>
        </w:rPr>
        <w:t xml:space="preserve"> </w:t>
      </w:r>
    </w:p>
    <w:p w14:paraId="69F394A2" w14:textId="77777777" w:rsidR="00A94862" w:rsidRPr="00FC6336" w:rsidRDefault="00A94862" w:rsidP="00A94862">
      <w:pPr>
        <w:tabs>
          <w:tab w:val="left" w:pos="284"/>
        </w:tabs>
        <w:spacing w:after="0" w:line="240" w:lineRule="auto"/>
        <w:jc w:val="both"/>
      </w:pPr>
    </w:p>
    <w:p w14:paraId="4099F061" w14:textId="77777777" w:rsidR="00A94862" w:rsidRDefault="00A94862" w:rsidP="00A94862">
      <w:pPr>
        <w:spacing w:after="0" w:line="240" w:lineRule="auto"/>
        <w:jc w:val="both"/>
      </w:pPr>
      <w:r w:rsidRPr="003748F8">
        <w:rPr>
          <w:b/>
          <w:bCs/>
        </w:rPr>
        <w:t>4.1.</w:t>
      </w:r>
      <w:r w:rsidRPr="00FC6336">
        <w:t xml:space="preserve"> Não são elegíveis à Campanha clientes que: (i) não atingirem a meta de gastos</w:t>
      </w:r>
      <w:r>
        <w:t xml:space="preserve"> nas 3 primeiras faturas</w:t>
      </w:r>
      <w:r w:rsidRPr="00FC6336">
        <w:t>; (</w:t>
      </w:r>
      <w:proofErr w:type="spellStart"/>
      <w:r w:rsidRPr="00FC6336">
        <w:t>ii</w:t>
      </w:r>
      <w:proofErr w:type="spellEnd"/>
      <w:r w:rsidRPr="00FC6336">
        <w:t xml:space="preserve">) </w:t>
      </w:r>
      <w:r>
        <w:t>contratarem cartões diferentes do</w:t>
      </w:r>
      <w:r w:rsidRPr="00FC6336">
        <w:t xml:space="preserve"> Azul Itaú Mastercard Skyline ou o cartão Azul Itaú Visa Infinite; (iii) contratarem o</w:t>
      </w:r>
      <w:r>
        <w:t>s</w:t>
      </w:r>
      <w:r w:rsidRPr="00FC6336">
        <w:t xml:space="preserve"> cart</w:t>
      </w:r>
      <w:r>
        <w:t>ões elegíveis</w:t>
      </w:r>
      <w:r w:rsidRPr="00FC6336">
        <w:t xml:space="preserve"> fora do período da Campanha; (</w:t>
      </w:r>
      <w:proofErr w:type="spellStart"/>
      <w:r w:rsidRPr="00FC6336">
        <w:t>iv</w:t>
      </w:r>
      <w:proofErr w:type="spellEnd"/>
      <w:r w:rsidRPr="00FC6336">
        <w:t>) não ativarem o cartão em até 60 dias após a data de aprovação</w:t>
      </w:r>
      <w:r>
        <w:t>.</w:t>
      </w:r>
    </w:p>
    <w:p w14:paraId="7FB406C7" w14:textId="77777777" w:rsidR="00737E21" w:rsidRDefault="00737E21" w:rsidP="00A94862">
      <w:pPr>
        <w:spacing w:after="0" w:line="240" w:lineRule="auto"/>
        <w:jc w:val="both"/>
      </w:pPr>
    </w:p>
    <w:p w14:paraId="6CA797CC" w14:textId="77777777" w:rsidR="00A94862" w:rsidRDefault="00A94862" w:rsidP="00A94862">
      <w:pPr>
        <w:pStyle w:val="PargrafodaLista"/>
        <w:numPr>
          <w:ilvl w:val="0"/>
          <w:numId w:val="4"/>
        </w:numPr>
        <w:spacing w:after="0" w:line="240" w:lineRule="auto"/>
        <w:jc w:val="both"/>
      </w:pPr>
      <w:r w:rsidRPr="003748F8">
        <w:rPr>
          <w:b/>
          <w:bCs/>
        </w:rPr>
        <w:t>Disposições Gerais:</w:t>
      </w:r>
      <w:r>
        <w:t xml:space="preserve"> </w:t>
      </w:r>
    </w:p>
    <w:p w14:paraId="74774FC9" w14:textId="77777777" w:rsidR="00A94862" w:rsidRDefault="00A94862" w:rsidP="00A94862">
      <w:pPr>
        <w:spacing w:after="0" w:line="240" w:lineRule="auto"/>
        <w:jc w:val="both"/>
      </w:pPr>
    </w:p>
    <w:p w14:paraId="203CDAC4" w14:textId="77777777" w:rsidR="00A94862" w:rsidRDefault="00A94862" w:rsidP="00A94862">
      <w:pPr>
        <w:spacing w:after="0" w:line="240" w:lineRule="auto"/>
        <w:jc w:val="both"/>
      </w:pPr>
      <w:r w:rsidRPr="003748F8">
        <w:rPr>
          <w:b/>
          <w:bCs/>
        </w:rPr>
        <w:t>5.1</w:t>
      </w:r>
      <w:r>
        <w:t xml:space="preserve"> </w:t>
      </w:r>
      <w:r w:rsidRPr="00E54E02">
        <w:rPr>
          <w:b/>
          <w:bCs/>
        </w:rPr>
        <w:t>Aprovação</w:t>
      </w:r>
      <w:r w:rsidRPr="008C0AAC">
        <w:rPr>
          <w:b/>
          <w:bCs/>
        </w:rPr>
        <w:t>:</w:t>
      </w:r>
      <w:r>
        <w:t xml:space="preserve"> </w:t>
      </w:r>
      <w:r w:rsidRPr="00FE0B50">
        <w:t>A aprovação do Cartão depende de análise e aprovação de crédito.</w:t>
      </w:r>
    </w:p>
    <w:p w14:paraId="59A157B6" w14:textId="77777777" w:rsidR="00A94862" w:rsidRPr="003748F8" w:rsidRDefault="00A94862" w:rsidP="00A94862">
      <w:pPr>
        <w:spacing w:after="0" w:line="240" w:lineRule="auto"/>
        <w:jc w:val="both"/>
        <w:rPr>
          <w:b/>
          <w:bCs/>
        </w:rPr>
      </w:pPr>
    </w:p>
    <w:p w14:paraId="1DAEB809" w14:textId="77777777" w:rsidR="00A94862" w:rsidRDefault="00A94862" w:rsidP="00A94862">
      <w:pPr>
        <w:spacing w:after="0" w:line="240" w:lineRule="auto"/>
        <w:jc w:val="both"/>
      </w:pPr>
      <w:r w:rsidRPr="003748F8">
        <w:rPr>
          <w:b/>
          <w:bCs/>
        </w:rPr>
        <w:t>5.2</w:t>
      </w:r>
      <w:r>
        <w:t xml:space="preserve"> </w:t>
      </w:r>
      <w:r w:rsidRPr="00FE0B50">
        <w:t>Promoção válida apenas para o titular do cartão.</w:t>
      </w:r>
    </w:p>
    <w:p w14:paraId="52D6FFB8" w14:textId="77777777" w:rsidR="00A94862" w:rsidRDefault="00A94862" w:rsidP="00A94862">
      <w:pPr>
        <w:spacing w:after="0" w:line="240" w:lineRule="auto"/>
        <w:jc w:val="both"/>
      </w:pPr>
    </w:p>
    <w:p w14:paraId="1D1D1681" w14:textId="77777777" w:rsidR="00A94862" w:rsidRDefault="00A94862" w:rsidP="00A94862">
      <w:pPr>
        <w:spacing w:after="0" w:line="240" w:lineRule="auto"/>
        <w:jc w:val="both"/>
      </w:pPr>
      <w:r w:rsidRPr="003748F8">
        <w:rPr>
          <w:b/>
          <w:bCs/>
        </w:rPr>
        <w:t>5.3</w:t>
      </w:r>
      <w:r>
        <w:t xml:space="preserve"> </w:t>
      </w:r>
      <w:r w:rsidRPr="00E2648B">
        <w:rPr>
          <w:b/>
          <w:bCs/>
        </w:rPr>
        <w:t>Compras Elegíveis:</w:t>
      </w:r>
      <w:r w:rsidRPr="00E2648B">
        <w:t xml:space="preserve"> </w:t>
      </w:r>
      <w:r>
        <w:t>C</w:t>
      </w:r>
      <w:r w:rsidRPr="00E2648B">
        <w:t>ompras realizadas integralmente na função crédito do cartão de crédito elegível, seja ele físico ou cartão virtual - temporário ou recorrente - durante o período da Campanha. São consideradas transações válidas as compras à vista ou parceladas, autorizadas e processadas durante o período da Campanha. Para as compras elegíveis realizadas de forma parcelada, será contabilizado o valor da parcela, desde que feita durante o período da Campanha.</w:t>
      </w:r>
    </w:p>
    <w:p w14:paraId="7FF51279" w14:textId="77777777" w:rsidR="00A94862" w:rsidRDefault="00A94862" w:rsidP="00A94862">
      <w:pPr>
        <w:spacing w:after="0" w:line="240" w:lineRule="auto"/>
        <w:jc w:val="both"/>
      </w:pPr>
    </w:p>
    <w:p w14:paraId="77D2B453" w14:textId="77777777" w:rsidR="00A94862" w:rsidRPr="00FC6336" w:rsidRDefault="00A94862" w:rsidP="00A94862">
      <w:pPr>
        <w:spacing w:after="0" w:line="240" w:lineRule="auto"/>
        <w:jc w:val="both"/>
      </w:pPr>
      <w:r w:rsidRPr="003748F8">
        <w:rPr>
          <w:b/>
          <w:bCs/>
        </w:rPr>
        <w:t>5.4</w:t>
      </w:r>
      <w:r>
        <w:t xml:space="preserve"> </w:t>
      </w:r>
      <w:r w:rsidRPr="007A6886">
        <w:rPr>
          <w:b/>
          <w:bCs/>
        </w:rPr>
        <w:t>Compras não elegíveis</w:t>
      </w:r>
      <w:r w:rsidRPr="007A6886">
        <w:t>: Não serão válidas as seguintes transações: (i) compras transmitidas por processo off-line; (</w:t>
      </w:r>
      <w:proofErr w:type="spellStart"/>
      <w:r w:rsidRPr="007A6886">
        <w:t>ii</w:t>
      </w:r>
      <w:proofErr w:type="spellEnd"/>
      <w:r w:rsidRPr="007A6886">
        <w:t>) valores decorrentes de saques em dinheiro (cash), encargos contratuais e moratórios, tarifas, anuidades, serviços de seguro, estornos ou ajustes de valores constantes no extrato ou taxa de cash; (iii) compras sujeitas à validação de informações por parte do consumidor, tais como, por exemplo, reservas de viagem e aluguel de carros dado que são casos de pré-aprovação de transações; (</w:t>
      </w:r>
      <w:proofErr w:type="spellStart"/>
      <w:r w:rsidRPr="007A6886">
        <w:t>iv</w:t>
      </w:r>
      <w:proofErr w:type="spellEnd"/>
      <w:r w:rsidRPr="007A6886">
        <w:t>) compras e autorizações de compras realizadas e não autorizadas ou não processadas dentro do período da Campanha; (v) transações realizadas com cartão que não sejam transações de compra, tais como, mas não se limitando a, transações de saque, pagamentos de conta e boletos e outras; (vi) compras canceladas ou estornadas; (</w:t>
      </w:r>
      <w:proofErr w:type="spellStart"/>
      <w:r w:rsidRPr="007A6886">
        <w:t>vii</w:t>
      </w:r>
      <w:proofErr w:type="spellEnd"/>
      <w:r w:rsidRPr="007A6886">
        <w:t>) compras realizadas por cartão que tenha sido roubado, furtado, clonado ou de qualquer outra forma ilegalmente subtraído do controle de seus titulares; (</w:t>
      </w:r>
      <w:proofErr w:type="spellStart"/>
      <w:r w:rsidRPr="007A6886">
        <w:t>viii</w:t>
      </w:r>
      <w:proofErr w:type="spellEnd"/>
      <w:r w:rsidRPr="007A6886">
        <w:t>) compras na função débito.</w:t>
      </w:r>
    </w:p>
    <w:p w14:paraId="695CC478" w14:textId="77777777" w:rsidR="00A94862" w:rsidRDefault="00A94862" w:rsidP="00A94862">
      <w:pPr>
        <w:spacing w:after="0" w:line="240" w:lineRule="auto"/>
        <w:jc w:val="both"/>
      </w:pPr>
    </w:p>
    <w:p w14:paraId="26EA1439" w14:textId="77777777" w:rsidR="00A94862" w:rsidRDefault="00A94862" w:rsidP="00A94862">
      <w:pPr>
        <w:spacing w:after="0" w:line="240" w:lineRule="auto"/>
        <w:jc w:val="both"/>
      </w:pPr>
      <w:r w:rsidRPr="003748F8">
        <w:rPr>
          <w:b/>
          <w:bCs/>
        </w:rPr>
        <w:t>5.5</w:t>
      </w:r>
      <w:r w:rsidRPr="00212146">
        <w:t xml:space="preserve"> Se a compra for cancelada ou contestada, o valor respectivo não será contabilizado. </w:t>
      </w:r>
    </w:p>
    <w:p w14:paraId="7D16A65F" w14:textId="77777777" w:rsidR="00A94862" w:rsidRDefault="00A94862" w:rsidP="00A94862">
      <w:pPr>
        <w:spacing w:after="0" w:line="240" w:lineRule="auto"/>
        <w:jc w:val="both"/>
      </w:pPr>
    </w:p>
    <w:p w14:paraId="68F97848" w14:textId="77777777" w:rsidR="00A94862" w:rsidRDefault="00A94862" w:rsidP="00A94862">
      <w:pPr>
        <w:spacing w:after="0" w:line="240" w:lineRule="auto"/>
        <w:jc w:val="both"/>
      </w:pPr>
      <w:r w:rsidRPr="003748F8">
        <w:rPr>
          <w:b/>
          <w:bCs/>
        </w:rPr>
        <w:t>5.6</w:t>
      </w:r>
      <w:r>
        <w:t xml:space="preserve"> </w:t>
      </w:r>
      <w:r w:rsidRPr="00212146">
        <w:t xml:space="preserve">A Campanha </w:t>
      </w:r>
      <w:r>
        <w:t xml:space="preserve">não </w:t>
      </w:r>
      <w:r w:rsidRPr="00212146">
        <w:t xml:space="preserve">é cumulativa com outras ofertas. </w:t>
      </w:r>
    </w:p>
    <w:p w14:paraId="4588400B" w14:textId="77777777" w:rsidR="00A94862" w:rsidRPr="003748F8" w:rsidRDefault="00A94862" w:rsidP="00A94862">
      <w:pPr>
        <w:spacing w:after="0" w:line="240" w:lineRule="auto"/>
        <w:jc w:val="both"/>
        <w:rPr>
          <w:b/>
          <w:bCs/>
        </w:rPr>
      </w:pPr>
    </w:p>
    <w:p w14:paraId="170DB054" w14:textId="77777777" w:rsidR="00A94862" w:rsidRDefault="00A94862" w:rsidP="00A94862">
      <w:pPr>
        <w:spacing w:after="0" w:line="240" w:lineRule="auto"/>
        <w:jc w:val="both"/>
      </w:pPr>
      <w:r w:rsidRPr="003748F8">
        <w:rPr>
          <w:b/>
          <w:bCs/>
        </w:rPr>
        <w:t>5.7</w:t>
      </w:r>
      <w:r>
        <w:t xml:space="preserve"> </w:t>
      </w:r>
      <w:r w:rsidRPr="00212146">
        <w:t>É responsabilidade do cliente manter seus dados atualizados para que receba o e-mail e demais informações relacionadas à Campanha corretamente.</w:t>
      </w:r>
    </w:p>
    <w:p w14:paraId="03324130" w14:textId="77777777" w:rsidR="00A94862" w:rsidRPr="008043E0" w:rsidRDefault="00A94862" w:rsidP="00A94862">
      <w:pPr>
        <w:spacing w:after="0" w:line="240" w:lineRule="auto"/>
        <w:jc w:val="both"/>
        <w:rPr>
          <w:b/>
          <w:bCs/>
        </w:rPr>
      </w:pPr>
    </w:p>
    <w:p w14:paraId="39FB8A88" w14:textId="77777777" w:rsidR="00A94862" w:rsidRDefault="00A94862" w:rsidP="00A94862">
      <w:pPr>
        <w:spacing w:after="0" w:line="240" w:lineRule="auto"/>
        <w:jc w:val="both"/>
      </w:pPr>
      <w:r w:rsidRPr="008043E0">
        <w:rPr>
          <w:b/>
          <w:bCs/>
        </w:rPr>
        <w:t>5.8</w:t>
      </w:r>
      <w:r w:rsidRPr="00212146">
        <w:t xml:space="preserve"> Para entender como o Itaú trata seus dados e como poderá exercer os seus direitos, acesse a nossa política de privacidade, disponível em: </w:t>
      </w:r>
      <w:hyperlink r:id="rId10" w:history="1">
        <w:r w:rsidRPr="00ED2CE1">
          <w:rPr>
            <w:rStyle w:val="Hyperlink"/>
          </w:rPr>
          <w:t>https://www.itau.com.br/privacidade</w:t>
        </w:r>
      </w:hyperlink>
      <w:r w:rsidRPr="00212146">
        <w:t>.</w:t>
      </w:r>
    </w:p>
    <w:p w14:paraId="01FE50D0" w14:textId="77777777" w:rsidR="00A94862" w:rsidRDefault="00A94862" w:rsidP="00A94862">
      <w:pPr>
        <w:spacing w:after="0" w:line="240" w:lineRule="auto"/>
        <w:jc w:val="both"/>
      </w:pPr>
    </w:p>
    <w:p w14:paraId="146EF808" w14:textId="77777777" w:rsidR="00A94862" w:rsidRDefault="00A94862" w:rsidP="00A94862">
      <w:pPr>
        <w:spacing w:after="0" w:line="240" w:lineRule="auto"/>
        <w:jc w:val="both"/>
      </w:pPr>
      <w:r w:rsidRPr="008043E0">
        <w:rPr>
          <w:b/>
          <w:bCs/>
        </w:rPr>
        <w:t>5.9</w:t>
      </w:r>
      <w:r>
        <w:t xml:space="preserve"> A </w:t>
      </w:r>
      <w:r w:rsidRPr="003748F8">
        <w:t>Azul Linhas Aéreas Brasileiras S.A</w:t>
      </w:r>
      <w:r>
        <w:t xml:space="preserve"> não se responsabiliza por inscrições não efetuadas em razão de falhas de comunicação de dados ou quaisquer outros problemas relacionados a provedores e servidores de Internet e de e-mail.</w:t>
      </w:r>
    </w:p>
    <w:p w14:paraId="002E14CB" w14:textId="77777777" w:rsidR="00A94862" w:rsidRDefault="00A94862" w:rsidP="00A94862">
      <w:pPr>
        <w:spacing w:after="0" w:line="240" w:lineRule="auto"/>
        <w:jc w:val="both"/>
      </w:pPr>
    </w:p>
    <w:p w14:paraId="02E0579D" w14:textId="77777777" w:rsidR="00A94862" w:rsidRDefault="00A94862" w:rsidP="00A94862">
      <w:pPr>
        <w:spacing w:after="0" w:line="240" w:lineRule="auto"/>
        <w:jc w:val="both"/>
      </w:pPr>
      <w:r w:rsidRPr="008043E0">
        <w:rPr>
          <w:b/>
          <w:bCs/>
        </w:rPr>
        <w:t>5.10</w:t>
      </w:r>
      <w:r>
        <w:t xml:space="preserve"> Para verificar as condições de acúmulo, entre em contato com a Central de Atendimento da Instituição Financeira. </w:t>
      </w:r>
    </w:p>
    <w:p w14:paraId="738DC76C" w14:textId="77777777" w:rsidR="00A94862" w:rsidRDefault="00A94862" w:rsidP="00A94862">
      <w:pPr>
        <w:spacing w:after="0" w:line="240" w:lineRule="auto"/>
        <w:jc w:val="both"/>
      </w:pPr>
    </w:p>
    <w:p w14:paraId="21287AF4" w14:textId="77777777" w:rsidR="00A94862" w:rsidRDefault="00A94862" w:rsidP="00A94862">
      <w:pPr>
        <w:spacing w:after="0" w:line="240" w:lineRule="auto"/>
        <w:jc w:val="both"/>
      </w:pPr>
      <w:r w:rsidRPr="008043E0">
        <w:rPr>
          <w:b/>
          <w:bCs/>
        </w:rPr>
        <w:t>5.11</w:t>
      </w:r>
      <w:r>
        <w:t xml:space="preserve"> Na hipótese de verificação de fraude, tentativa de fraude ou abuso, ou ainda de utilização de qualquer meio eletrônico, informático, digital, robótico, repetitivo, automático, mecânico e/ou análogo com intuito deliberado de reprodução automática e/ou repetitiva de aquisições dos pontos, será </w:t>
      </w:r>
      <w:r>
        <w:rPr>
          <w:b/>
          <w:bCs/>
        </w:rPr>
        <w:t>anulada a operação</w:t>
      </w:r>
      <w:r>
        <w:t>, ainda que nem todas as operações tenham resultado do uso de tais meios e/ou sido realizadas com tal finalidade.</w:t>
      </w:r>
    </w:p>
    <w:p w14:paraId="29019884" w14:textId="77777777" w:rsidR="00A94862" w:rsidRDefault="00A94862" w:rsidP="00A94862">
      <w:pPr>
        <w:spacing w:after="0" w:line="240" w:lineRule="auto"/>
        <w:jc w:val="both"/>
      </w:pPr>
    </w:p>
    <w:p w14:paraId="3D44CA6F" w14:textId="77777777" w:rsidR="00A94862" w:rsidRDefault="00A94862" w:rsidP="00A94862">
      <w:pPr>
        <w:jc w:val="both"/>
      </w:pPr>
      <w:r w:rsidRPr="008043E0">
        <w:rPr>
          <w:b/>
          <w:bCs/>
        </w:rPr>
        <w:t>5.12</w:t>
      </w:r>
      <w:r>
        <w:t xml:space="preserve"> A </w:t>
      </w:r>
      <w:r w:rsidRPr="003748F8">
        <w:t>Azul Linhas Aéreas Brasileiras S.A</w:t>
      </w:r>
      <w:r>
        <w:t xml:space="preserve"> se reserva no direito de adiar, alterar, cancelar ou prorrogar a Campanha, comprometendo-se a divulgar na página da Campanha quaisquer das mencionadas alterações. </w:t>
      </w:r>
    </w:p>
    <w:p w14:paraId="1316CCEF" w14:textId="77777777" w:rsidR="00A94862" w:rsidRDefault="00A94862" w:rsidP="00A94862">
      <w:pPr>
        <w:spacing w:after="0" w:line="240" w:lineRule="auto"/>
        <w:jc w:val="both"/>
      </w:pPr>
      <w:r w:rsidRPr="008043E0">
        <w:rPr>
          <w:b/>
          <w:bCs/>
        </w:rPr>
        <w:t>5.13</w:t>
      </w:r>
      <w:r>
        <w:t xml:space="preserve"> A participação nesta Campanha não gerará ao Cliente e/ou contemplado nenhum outro direito ou vantagem que não estejam expressamente previstos neste regulamento.</w:t>
      </w:r>
    </w:p>
    <w:p w14:paraId="6CC0A0AC" w14:textId="77777777" w:rsidR="00A94862" w:rsidRDefault="00A94862" w:rsidP="00A94862">
      <w:pPr>
        <w:spacing w:after="0" w:line="240" w:lineRule="auto"/>
        <w:jc w:val="both"/>
      </w:pPr>
    </w:p>
    <w:p w14:paraId="2CF3384B" w14:textId="3B45B9DE" w:rsidR="00E723F1" w:rsidRPr="00A94862" w:rsidRDefault="00E723F1" w:rsidP="00A94862"/>
    <w:sectPr w:rsidR="00E723F1" w:rsidRPr="00A94862">
      <w:footerReference w:type="even" r:id="rId11"/>
      <w:footerReference w:type="defaul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E9B6" w14:textId="77777777" w:rsidR="00761D65" w:rsidRDefault="00761D65" w:rsidP="00B159A6">
      <w:pPr>
        <w:spacing w:after="0" w:line="240" w:lineRule="auto"/>
      </w:pPr>
      <w:r>
        <w:separator/>
      </w:r>
    </w:p>
  </w:endnote>
  <w:endnote w:type="continuationSeparator" w:id="0">
    <w:p w14:paraId="32E42220" w14:textId="77777777" w:rsidR="00761D65" w:rsidRDefault="00761D65" w:rsidP="00B1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B4A5" w14:textId="17B72902" w:rsidR="00B159A6" w:rsidRDefault="00B159A6">
    <w:pPr>
      <w:pStyle w:val="Rodap"/>
    </w:pPr>
    <w:r>
      <w:rPr>
        <w:noProof/>
        <w14:ligatures w14:val="standardContextual"/>
      </w:rPr>
      <mc:AlternateContent>
        <mc:Choice Requires="wps">
          <w:drawing>
            <wp:anchor distT="0" distB="0" distL="0" distR="0" simplePos="0" relativeHeight="251659264" behindDoc="0" locked="0" layoutInCell="1" allowOverlap="1" wp14:anchorId="68ACFA68" wp14:editId="00D3FD9C">
              <wp:simplePos x="635" y="635"/>
              <wp:positionH relativeFrom="page">
                <wp:align>left</wp:align>
              </wp:positionH>
              <wp:positionV relativeFrom="page">
                <wp:align>bottom</wp:align>
              </wp:positionV>
              <wp:extent cx="1271270" cy="351155"/>
              <wp:effectExtent l="0" t="0" r="5080" b="0"/>
              <wp:wrapNone/>
              <wp:docPr id="2103606880" name="Caixa de Texto 2" descr="Corporativo |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1270" cy="351155"/>
                      </a:xfrm>
                      <a:prstGeom prst="rect">
                        <a:avLst/>
                      </a:prstGeom>
                      <a:noFill/>
                      <a:ln>
                        <a:noFill/>
                      </a:ln>
                    </wps:spPr>
                    <wps:txbx>
                      <w:txbxContent>
                        <w:p w14:paraId="73D6FEFF" w14:textId="1A016F94" w:rsidR="00B159A6" w:rsidRPr="00B159A6" w:rsidRDefault="00B159A6" w:rsidP="00B159A6">
                          <w:pPr>
                            <w:spacing w:after="0"/>
                            <w:rPr>
                              <w:rFonts w:ascii="Aptos" w:eastAsia="Aptos" w:hAnsi="Aptos" w:cs="Aptos"/>
                              <w:noProof/>
                              <w:color w:val="000000"/>
                              <w:sz w:val="18"/>
                              <w:szCs w:val="18"/>
                            </w:rPr>
                          </w:pPr>
                          <w:r w:rsidRPr="00B159A6">
                            <w:rPr>
                              <w:rFonts w:ascii="Aptos" w:eastAsia="Aptos" w:hAnsi="Aptos" w:cs="Aptos"/>
                              <w:noProof/>
                              <w:color w:val="000000"/>
                              <w:sz w:val="18"/>
                              <w:szCs w:val="18"/>
                            </w:rPr>
                            <w:t>Corporativo |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ACFA68" id="_x0000_t202" coordsize="21600,21600" o:spt="202" path="m,l,21600r21600,l21600,xe">
              <v:stroke joinstyle="miter"/>
              <v:path gradientshapeok="t" o:connecttype="rect"/>
            </v:shapetype>
            <v:shape id="Caixa de Texto 2" o:spid="_x0000_s1026" type="#_x0000_t202" alt="Corporativo | Interno" style="position:absolute;margin-left:0;margin-top:0;width:100.1pt;height:27.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" filled="f" stroked="f">
              <v:textbox style="mso-fit-shape-to-text:t" inset="20pt,0,0,15pt">
                <w:txbxContent>
                  <w:p w14:paraId="73D6FEFF" w14:textId="1A016F94" w:rsidR="00B159A6" w:rsidRPr="00B159A6" w:rsidRDefault="00B159A6" w:rsidP="00B159A6">
                    <w:pPr>
                      <w:spacing w:after="0"/>
                      <w:rPr>
                        <w:rFonts w:ascii="Aptos" w:eastAsia="Aptos" w:hAnsi="Aptos" w:cs="Aptos"/>
                        <w:noProof/>
                        <w:color w:val="000000"/>
                        <w:sz w:val="18"/>
                        <w:szCs w:val="18"/>
                      </w:rPr>
                    </w:pPr>
                    <w:r w:rsidRPr="00B159A6">
                      <w:rPr>
                        <w:rFonts w:ascii="Aptos" w:eastAsia="Aptos" w:hAnsi="Aptos" w:cs="Aptos"/>
                        <w:noProof/>
                        <w:color w:val="000000"/>
                        <w:sz w:val="18"/>
                        <w:szCs w:val="18"/>
                      </w:rPr>
                      <w:t>Corporativo |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2521" w14:textId="3E96DE83" w:rsidR="00B159A6" w:rsidRDefault="00B159A6">
    <w:pPr>
      <w:pStyle w:val="Rodap"/>
    </w:pPr>
    <w:r>
      <w:rPr>
        <w:noProof/>
        <w14:ligatures w14:val="standardContextual"/>
      </w:rPr>
      <mc:AlternateContent>
        <mc:Choice Requires="wps">
          <w:drawing>
            <wp:anchor distT="0" distB="0" distL="0" distR="0" simplePos="0" relativeHeight="251660288" behindDoc="0" locked="0" layoutInCell="1" allowOverlap="1" wp14:anchorId="3CE3155E" wp14:editId="428C710A">
              <wp:simplePos x="1083212" y="10072468"/>
              <wp:positionH relativeFrom="page">
                <wp:align>left</wp:align>
              </wp:positionH>
              <wp:positionV relativeFrom="page">
                <wp:align>bottom</wp:align>
              </wp:positionV>
              <wp:extent cx="1271270" cy="351155"/>
              <wp:effectExtent l="0" t="0" r="5080" b="0"/>
              <wp:wrapNone/>
              <wp:docPr id="834964246" name="Caixa de Texto 3" descr="Corporativo |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1270" cy="351155"/>
                      </a:xfrm>
                      <a:prstGeom prst="rect">
                        <a:avLst/>
                      </a:prstGeom>
                      <a:noFill/>
                      <a:ln>
                        <a:noFill/>
                      </a:ln>
                    </wps:spPr>
                    <wps:txbx>
                      <w:txbxContent>
                        <w:p w14:paraId="1B66621B" w14:textId="5E5B48A4" w:rsidR="00B159A6" w:rsidRPr="00B159A6" w:rsidRDefault="00B159A6" w:rsidP="00B159A6">
                          <w:pPr>
                            <w:spacing w:after="0"/>
                            <w:rPr>
                              <w:rFonts w:ascii="Aptos" w:eastAsia="Aptos" w:hAnsi="Aptos" w:cs="Aptos"/>
                              <w:noProof/>
                              <w:color w:val="000000"/>
                              <w:sz w:val="18"/>
                              <w:szCs w:val="18"/>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E3155E" id="_x0000_t202" coordsize="21600,21600" o:spt="202" path="m,l,21600r21600,l21600,xe">
              <v:stroke joinstyle="miter"/>
              <v:path gradientshapeok="t" o:connecttype="rect"/>
            </v:shapetype>
            <v:shape id="Caixa de Texto 3" o:spid="_x0000_s1027" type="#_x0000_t202" alt="Corporativo | Interno" style="position:absolute;margin-left:0;margin-top:0;width:100.1pt;height:27.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" filled="f" stroked="f">
              <v:textbox style="mso-fit-shape-to-text:t" inset="20pt,0,0,15pt">
                <w:txbxContent>
                  <w:p w14:paraId="1B66621B" w14:textId="5E5B48A4" w:rsidR="00B159A6" w:rsidRPr="00B159A6" w:rsidRDefault="00B159A6" w:rsidP="00B159A6">
                    <w:pPr>
                      <w:spacing w:after="0"/>
                      <w:rPr>
                        <w:rFonts w:ascii="Aptos" w:eastAsia="Aptos" w:hAnsi="Aptos" w:cs="Aptos"/>
                        <w:noProof/>
                        <w:color w:val="000000"/>
                        <w:sz w:val="18"/>
                        <w:szCs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7B4C" w14:textId="1D907408" w:rsidR="00B159A6" w:rsidRDefault="00B159A6">
    <w:pPr>
      <w:pStyle w:val="Rodap"/>
    </w:pPr>
    <w:r>
      <w:rPr>
        <w:noProof/>
        <w14:ligatures w14:val="standardContextual"/>
      </w:rPr>
      <mc:AlternateContent>
        <mc:Choice Requires="wps">
          <w:drawing>
            <wp:anchor distT="0" distB="0" distL="0" distR="0" simplePos="0" relativeHeight="251658240" behindDoc="0" locked="0" layoutInCell="1" allowOverlap="1" wp14:anchorId="49C00A02" wp14:editId="48B83FE4">
              <wp:simplePos x="635" y="635"/>
              <wp:positionH relativeFrom="page">
                <wp:align>left</wp:align>
              </wp:positionH>
              <wp:positionV relativeFrom="page">
                <wp:align>bottom</wp:align>
              </wp:positionV>
              <wp:extent cx="1271270" cy="351155"/>
              <wp:effectExtent l="0" t="0" r="5080" b="0"/>
              <wp:wrapNone/>
              <wp:docPr id="728581577" name="Caixa de Texto 1" descr="Corporativo |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1270" cy="351155"/>
                      </a:xfrm>
                      <a:prstGeom prst="rect">
                        <a:avLst/>
                      </a:prstGeom>
                      <a:noFill/>
                      <a:ln>
                        <a:noFill/>
                      </a:ln>
                    </wps:spPr>
                    <wps:txbx>
                      <w:txbxContent>
                        <w:p w14:paraId="65526E80" w14:textId="266601DD" w:rsidR="00B159A6" w:rsidRPr="00B159A6" w:rsidRDefault="00B159A6" w:rsidP="00B159A6">
                          <w:pPr>
                            <w:spacing w:after="0"/>
                            <w:rPr>
                              <w:rFonts w:ascii="Aptos" w:eastAsia="Aptos" w:hAnsi="Aptos" w:cs="Aptos"/>
                              <w:noProof/>
                              <w:color w:val="000000"/>
                              <w:sz w:val="18"/>
                              <w:szCs w:val="18"/>
                            </w:rPr>
                          </w:pPr>
                          <w:r w:rsidRPr="00B159A6">
                            <w:rPr>
                              <w:rFonts w:ascii="Aptos" w:eastAsia="Aptos" w:hAnsi="Aptos" w:cs="Aptos"/>
                              <w:noProof/>
                              <w:color w:val="000000"/>
                              <w:sz w:val="18"/>
                              <w:szCs w:val="18"/>
                            </w:rPr>
                            <w:t>Corporativo |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C00A02" id="_x0000_t202" coordsize="21600,21600" o:spt="202" path="m,l,21600r21600,l21600,xe">
              <v:stroke joinstyle="miter"/>
              <v:path gradientshapeok="t" o:connecttype="rect"/>
            </v:shapetype>
            <v:shape id="Caixa de Texto 1" o:spid="_x0000_s1028" type="#_x0000_t202" alt="Corporativo | Interno" style="position:absolute;margin-left:0;margin-top:0;width:100.1pt;height:27.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" filled="f" stroked="f">
              <v:textbox style="mso-fit-shape-to-text:t" inset="20pt,0,0,15pt">
                <w:txbxContent>
                  <w:p w14:paraId="65526E80" w14:textId="266601DD" w:rsidR="00B159A6" w:rsidRPr="00B159A6" w:rsidRDefault="00B159A6" w:rsidP="00B159A6">
                    <w:pPr>
                      <w:spacing w:after="0"/>
                      <w:rPr>
                        <w:rFonts w:ascii="Aptos" w:eastAsia="Aptos" w:hAnsi="Aptos" w:cs="Aptos"/>
                        <w:noProof/>
                        <w:color w:val="000000"/>
                        <w:sz w:val="18"/>
                        <w:szCs w:val="18"/>
                      </w:rPr>
                    </w:pPr>
                    <w:r w:rsidRPr="00B159A6">
                      <w:rPr>
                        <w:rFonts w:ascii="Aptos" w:eastAsia="Aptos" w:hAnsi="Aptos" w:cs="Aptos"/>
                        <w:noProof/>
                        <w:color w:val="000000"/>
                        <w:sz w:val="18"/>
                        <w:szCs w:val="18"/>
                      </w:rPr>
                      <w:t>Corporativo |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35DE" w14:textId="77777777" w:rsidR="00761D65" w:rsidRDefault="00761D65" w:rsidP="00B159A6">
      <w:pPr>
        <w:spacing w:after="0" w:line="240" w:lineRule="auto"/>
      </w:pPr>
      <w:r>
        <w:separator/>
      </w:r>
    </w:p>
  </w:footnote>
  <w:footnote w:type="continuationSeparator" w:id="0">
    <w:p w14:paraId="749321C8" w14:textId="77777777" w:rsidR="00761D65" w:rsidRDefault="00761D65" w:rsidP="00B1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24C8"/>
    <w:multiLevelType w:val="hybridMultilevel"/>
    <w:tmpl w:val="816219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451702"/>
    <w:multiLevelType w:val="multilevel"/>
    <w:tmpl w:val="9E522DBC"/>
    <w:lvl w:ilvl="0">
      <w:start w:val="1"/>
      <w:numFmt w:val="bullet"/>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2" w15:restartNumberingAfterBreak="0">
    <w:nsid w:val="14860978"/>
    <w:multiLevelType w:val="multilevel"/>
    <w:tmpl w:val="F5369FB8"/>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34667554"/>
    <w:multiLevelType w:val="multilevel"/>
    <w:tmpl w:val="D7209E3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1146650">
    <w:abstractNumId w:val="3"/>
  </w:num>
  <w:num w:numId="2" w16cid:durableId="1458375245">
    <w:abstractNumId w:val="1"/>
  </w:num>
  <w:num w:numId="3" w16cid:durableId="1321229701">
    <w:abstractNumId w:val="0"/>
  </w:num>
  <w:num w:numId="4" w16cid:durableId="193123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8B"/>
    <w:rsid w:val="00042EB2"/>
    <w:rsid w:val="000A07E7"/>
    <w:rsid w:val="000C4643"/>
    <w:rsid w:val="00212146"/>
    <w:rsid w:val="0028508F"/>
    <w:rsid w:val="0032079C"/>
    <w:rsid w:val="00387FE7"/>
    <w:rsid w:val="003B088B"/>
    <w:rsid w:val="004166BD"/>
    <w:rsid w:val="004726DE"/>
    <w:rsid w:val="00495024"/>
    <w:rsid w:val="004B0238"/>
    <w:rsid w:val="00511B43"/>
    <w:rsid w:val="0054368F"/>
    <w:rsid w:val="00553D4A"/>
    <w:rsid w:val="00584C7C"/>
    <w:rsid w:val="00594C6C"/>
    <w:rsid w:val="005E3EC0"/>
    <w:rsid w:val="005F38F4"/>
    <w:rsid w:val="00647852"/>
    <w:rsid w:val="00673F57"/>
    <w:rsid w:val="00737E21"/>
    <w:rsid w:val="007417F1"/>
    <w:rsid w:val="00755473"/>
    <w:rsid w:val="00761D65"/>
    <w:rsid w:val="00781D61"/>
    <w:rsid w:val="007A6886"/>
    <w:rsid w:val="00801FCB"/>
    <w:rsid w:val="00861708"/>
    <w:rsid w:val="008A03FE"/>
    <w:rsid w:val="008C0AAC"/>
    <w:rsid w:val="008E3D9C"/>
    <w:rsid w:val="0090727A"/>
    <w:rsid w:val="00920C97"/>
    <w:rsid w:val="00A80856"/>
    <w:rsid w:val="00A94862"/>
    <w:rsid w:val="00B00B7A"/>
    <w:rsid w:val="00B159A6"/>
    <w:rsid w:val="00BA524C"/>
    <w:rsid w:val="00BF27C9"/>
    <w:rsid w:val="00C54A48"/>
    <w:rsid w:val="00C74484"/>
    <w:rsid w:val="00C8496E"/>
    <w:rsid w:val="00CF4E22"/>
    <w:rsid w:val="00D42D1B"/>
    <w:rsid w:val="00D743C7"/>
    <w:rsid w:val="00DD0F1A"/>
    <w:rsid w:val="00DE4ADE"/>
    <w:rsid w:val="00E2648B"/>
    <w:rsid w:val="00E54E02"/>
    <w:rsid w:val="00E723F1"/>
    <w:rsid w:val="00EA2EFE"/>
    <w:rsid w:val="00ED1448"/>
    <w:rsid w:val="00F70626"/>
    <w:rsid w:val="00FC6336"/>
    <w:rsid w:val="00FE0B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28759"/>
  <w15:chartTrackingRefBased/>
  <w15:docId w15:val="{801134EE-BF6E-46DD-A423-A9583AFF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88B"/>
    <w:pPr>
      <w:spacing w:after="200" w:line="276"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3B0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B0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B08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B08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B08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B08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08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08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088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088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B088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B088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B088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B088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B088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088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088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088B"/>
    <w:rPr>
      <w:rFonts w:eastAsiaTheme="majorEastAsia" w:cstheme="majorBidi"/>
      <w:color w:val="272727" w:themeColor="text1" w:themeTint="D8"/>
    </w:rPr>
  </w:style>
  <w:style w:type="paragraph" w:styleId="Ttulo">
    <w:name w:val="Title"/>
    <w:basedOn w:val="Normal"/>
    <w:next w:val="Normal"/>
    <w:link w:val="TtuloChar"/>
    <w:uiPriority w:val="10"/>
    <w:qFormat/>
    <w:rsid w:val="003B0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08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088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088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088B"/>
    <w:pPr>
      <w:spacing w:before="160"/>
      <w:jc w:val="center"/>
    </w:pPr>
    <w:rPr>
      <w:i/>
      <w:iCs/>
      <w:color w:val="404040" w:themeColor="text1" w:themeTint="BF"/>
    </w:rPr>
  </w:style>
  <w:style w:type="character" w:customStyle="1" w:styleId="CitaoChar">
    <w:name w:val="Citação Char"/>
    <w:basedOn w:val="Fontepargpadro"/>
    <w:link w:val="Citao"/>
    <w:uiPriority w:val="29"/>
    <w:rsid w:val="003B088B"/>
    <w:rPr>
      <w:i/>
      <w:iCs/>
      <w:color w:val="404040" w:themeColor="text1" w:themeTint="BF"/>
    </w:rPr>
  </w:style>
  <w:style w:type="paragraph" w:styleId="PargrafodaLista">
    <w:name w:val="List Paragraph"/>
    <w:basedOn w:val="Normal"/>
    <w:uiPriority w:val="34"/>
    <w:qFormat/>
    <w:rsid w:val="003B088B"/>
    <w:pPr>
      <w:ind w:left="720"/>
      <w:contextualSpacing/>
    </w:pPr>
  </w:style>
  <w:style w:type="character" w:styleId="nfaseIntensa">
    <w:name w:val="Intense Emphasis"/>
    <w:basedOn w:val="Fontepargpadro"/>
    <w:uiPriority w:val="21"/>
    <w:qFormat/>
    <w:rsid w:val="003B088B"/>
    <w:rPr>
      <w:i/>
      <w:iCs/>
      <w:color w:val="0F4761" w:themeColor="accent1" w:themeShade="BF"/>
    </w:rPr>
  </w:style>
  <w:style w:type="paragraph" w:styleId="CitaoIntensa">
    <w:name w:val="Intense Quote"/>
    <w:basedOn w:val="Normal"/>
    <w:next w:val="Normal"/>
    <w:link w:val="CitaoIntensaChar"/>
    <w:uiPriority w:val="30"/>
    <w:qFormat/>
    <w:rsid w:val="003B0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B088B"/>
    <w:rPr>
      <w:i/>
      <w:iCs/>
      <w:color w:val="0F4761" w:themeColor="accent1" w:themeShade="BF"/>
    </w:rPr>
  </w:style>
  <w:style w:type="character" w:styleId="RefernciaIntensa">
    <w:name w:val="Intense Reference"/>
    <w:basedOn w:val="Fontepargpadro"/>
    <w:uiPriority w:val="32"/>
    <w:qFormat/>
    <w:rsid w:val="003B088B"/>
    <w:rPr>
      <w:b/>
      <w:bCs/>
      <w:smallCaps/>
      <w:color w:val="0F4761" w:themeColor="accent1" w:themeShade="BF"/>
      <w:spacing w:val="5"/>
    </w:rPr>
  </w:style>
  <w:style w:type="paragraph" w:styleId="Rodap">
    <w:name w:val="footer"/>
    <w:basedOn w:val="Normal"/>
    <w:link w:val="RodapChar"/>
    <w:uiPriority w:val="99"/>
    <w:unhideWhenUsed/>
    <w:rsid w:val="00B159A6"/>
    <w:pPr>
      <w:tabs>
        <w:tab w:val="center" w:pos="4252"/>
        <w:tab w:val="right" w:pos="8504"/>
      </w:tabs>
      <w:spacing w:after="0" w:line="240" w:lineRule="auto"/>
    </w:pPr>
  </w:style>
  <w:style w:type="character" w:customStyle="1" w:styleId="RodapChar">
    <w:name w:val="Rodapé Char"/>
    <w:basedOn w:val="Fontepargpadro"/>
    <w:link w:val="Rodap"/>
    <w:uiPriority w:val="99"/>
    <w:rsid w:val="00B159A6"/>
    <w:rPr>
      <w:rFonts w:ascii="Calibri" w:eastAsia="Calibri" w:hAnsi="Calibri" w:cs="Calibri"/>
      <w:kern w:val="0"/>
      <w:sz w:val="22"/>
      <w:szCs w:val="22"/>
      <w:lang w:eastAsia="pt-BR"/>
      <w14:ligatures w14:val="none"/>
    </w:rPr>
  </w:style>
  <w:style w:type="character" w:styleId="Hyperlink">
    <w:name w:val="Hyperlink"/>
    <w:basedOn w:val="Fontepargpadro"/>
    <w:uiPriority w:val="99"/>
    <w:unhideWhenUsed/>
    <w:rsid w:val="00E723F1"/>
    <w:rPr>
      <w:color w:val="467886" w:themeColor="hyperlink"/>
      <w:u w:val="single"/>
    </w:rPr>
  </w:style>
  <w:style w:type="character" w:styleId="MenoPendente">
    <w:name w:val="Unresolved Mention"/>
    <w:basedOn w:val="Fontepargpadro"/>
    <w:uiPriority w:val="99"/>
    <w:semiHidden/>
    <w:unhideWhenUsed/>
    <w:rsid w:val="00E723F1"/>
    <w:rPr>
      <w:color w:val="605E5C"/>
      <w:shd w:val="clear" w:color="auto" w:fill="E1DFDD"/>
    </w:rPr>
  </w:style>
  <w:style w:type="character" w:styleId="Refdecomentrio">
    <w:name w:val="annotation reference"/>
    <w:basedOn w:val="Fontepargpadro"/>
    <w:uiPriority w:val="99"/>
    <w:semiHidden/>
    <w:unhideWhenUsed/>
    <w:rsid w:val="00A94862"/>
    <w:rPr>
      <w:sz w:val="16"/>
      <w:szCs w:val="16"/>
    </w:rPr>
  </w:style>
  <w:style w:type="paragraph" w:styleId="Textodecomentrio">
    <w:name w:val="annotation text"/>
    <w:basedOn w:val="Normal"/>
    <w:link w:val="TextodecomentrioChar"/>
    <w:uiPriority w:val="99"/>
    <w:unhideWhenUsed/>
    <w:rsid w:val="00A94862"/>
    <w:pPr>
      <w:spacing w:line="240" w:lineRule="auto"/>
    </w:pPr>
    <w:rPr>
      <w:sz w:val="20"/>
      <w:szCs w:val="20"/>
    </w:rPr>
  </w:style>
  <w:style w:type="character" w:customStyle="1" w:styleId="TextodecomentrioChar">
    <w:name w:val="Texto de comentário Char"/>
    <w:basedOn w:val="Fontepargpadro"/>
    <w:link w:val="Textodecomentrio"/>
    <w:uiPriority w:val="99"/>
    <w:rsid w:val="00A94862"/>
    <w:rPr>
      <w:rFonts w:ascii="Calibri" w:eastAsia="Calibri" w:hAnsi="Calibri" w:cs="Calibri"/>
      <w:kern w:val="0"/>
      <w:sz w:val="20"/>
      <w:szCs w:val="20"/>
      <w:lang w:eastAsia="pt-BR"/>
      <w14:ligatures w14:val="none"/>
    </w:rPr>
  </w:style>
  <w:style w:type="paragraph" w:styleId="Cabealho">
    <w:name w:val="header"/>
    <w:basedOn w:val="Normal"/>
    <w:link w:val="CabealhoChar"/>
    <w:uiPriority w:val="99"/>
    <w:unhideWhenUsed/>
    <w:rsid w:val="00C744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484"/>
    <w:rPr>
      <w:rFonts w:ascii="Calibri" w:eastAsia="Calibri" w:hAnsi="Calibri" w:cs="Calibri"/>
      <w:kern w:val="0"/>
      <w:sz w:val="22"/>
      <w:szCs w:val="22"/>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tau.com.br/privacid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945EED00D1B54998623A824836A551" ma:contentTypeVersion="10" ma:contentTypeDescription="Create a new document." ma:contentTypeScope="" ma:versionID="6c36ad9237a96732f9fa10ebc514a1af">
  <xsd:schema xmlns:xsd="http://www.w3.org/2001/XMLSchema" xmlns:xs="http://www.w3.org/2001/XMLSchema" xmlns:p="http://schemas.microsoft.com/office/2006/metadata/properties" xmlns:ns2="50e0b072-3aa4-4cf5-a66e-3026599d8211" xmlns:ns3="fb071816-1a6f-4d86-a181-65f35452028e" targetNamespace="http://schemas.microsoft.com/office/2006/metadata/properties" ma:root="true" ma:fieldsID="4b821fd7b7e658bb83a4b231b23ac2b7" ns2:_="" ns3:_="">
    <xsd:import namespace="50e0b072-3aa4-4cf5-a66e-3026599d8211"/>
    <xsd:import namespace="fb071816-1a6f-4d86-a181-65f354520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0b072-3aa4-4cf5-a66e-3026599d8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50beca-b328-4607-a8b4-7a69b88987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71816-1a6f-4d86-a181-65f354520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b5b109-4837-4132-954e-cf97269a6724}" ma:internalName="TaxCatchAll" ma:showField="CatchAllData" ma:web="fb071816-1a6f-4d86-a181-65f354520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b071816-1a6f-4d86-a181-65f35452028e" xsi:nil="true"/>
    <lcf76f155ced4ddcb4097134ff3c332f xmlns="50e0b072-3aa4-4cf5-a66e-3026599d82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F4ABEE-3A2A-4A93-AEBD-EC6CE9EEA57F}">
  <ds:schemaRefs>
    <ds:schemaRef ds:uri="http://schemas.microsoft.com/sharepoint/v3/contenttype/forms"/>
  </ds:schemaRefs>
</ds:datastoreItem>
</file>

<file path=customXml/itemProps2.xml><?xml version="1.0" encoding="utf-8"?>
<ds:datastoreItem xmlns:ds="http://schemas.openxmlformats.org/officeDocument/2006/customXml" ds:itemID="{70D2709E-9330-43B1-B976-F205827AC690}"/>
</file>

<file path=customXml/itemProps3.xml><?xml version="1.0" encoding="utf-8"?>
<ds:datastoreItem xmlns:ds="http://schemas.openxmlformats.org/officeDocument/2006/customXml" ds:itemID="{35F98276-ED5F-47DD-BF60-59E3499F2F41}">
  <ds:schemaRefs>
    <ds:schemaRef ds:uri="fb071816-1a6f-4d86-a181-65f35452028e"/>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50e0b072-3aa4-4cf5-a66e-3026599d821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1086</Words>
  <Characters>5868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Carolina Pinheiro Martins Traldi</dc:creator>
  <cp:keywords/>
  <dc:description/>
  <cp:lastModifiedBy>Ana Carolina Pinheiro Martins Traldi</cp:lastModifiedBy>
  <cp:revision>42</cp:revision>
  <cp:lastPrinted>2026-04-17T12:40:00Z</cp:lastPrinted>
  <dcterms:created xsi:type="dcterms:W3CDTF">2026-04-08T19:11:00Z</dcterms:created>
  <dcterms:modified xsi:type="dcterms:W3CDTF">2026-04-17T12:41:00Z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2b6d45c9,7d627e60,31c48b16</vt:lpwstr>
  </property>
  <property fmtid="{D5CDD505-2E9C-101B-9397-08002B2CF9AE}" pid="3" name="ClassificationContentMarkingFooterFontProps">
    <vt:lpwstr>#000000,9,Aptos</vt:lpwstr>
  </property>
  <property fmtid="{D5CDD505-2E9C-101B-9397-08002B2CF9AE}" pid="4" name="ClassificationContentMarkingFooterText">
    <vt:lpwstr>Corporativo | Interno</vt:lpwstr>
  </property>
  <property fmtid="{D5CDD505-2E9C-101B-9397-08002B2CF9AE}" pid="5" name="MSIP_Label_4fc996bf-6aee-415c-aa4c-e35ad0009c67_Enabled">
    <vt:lpwstr>true</vt:lpwstr>
  </property>
  <property fmtid="{D5CDD505-2E9C-101B-9397-08002B2CF9AE}" pid="6" name="MSIP_Label_4fc996bf-6aee-415c-aa4c-e35ad0009c67_SetDate">
    <vt:lpwstr>2026-04-08T19:26:09Z</vt:lpwstr>
  </property>
  <property fmtid="{D5CDD505-2E9C-101B-9397-08002B2CF9AE}" pid="7" name="MSIP_Label_4fc996bf-6aee-415c-aa4c-e35ad0009c67_Method">
    <vt:lpwstr>Standard</vt:lpwstr>
  </property>
  <property fmtid="{D5CDD505-2E9C-101B-9397-08002B2CF9AE}" pid="8" name="MSIP_Label_4fc996bf-6aee-415c-aa4c-e35ad0009c67_Name">
    <vt:lpwstr>Compartilhamento Interno</vt:lpwstr>
  </property>
  <property fmtid="{D5CDD505-2E9C-101B-9397-08002B2CF9AE}" pid="9" name="MSIP_Label_4fc996bf-6aee-415c-aa4c-e35ad0009c67_SiteId">
    <vt:lpwstr>591669a0-183f-49a5-98f4-9aa0d0b63d81</vt:lpwstr>
  </property>
  <property fmtid="{D5CDD505-2E9C-101B-9397-08002B2CF9AE}" pid="10" name="MSIP_Label_4fc996bf-6aee-415c-aa4c-e35ad0009c67_ActionId">
    <vt:lpwstr>819005f5-3f89-4677-9994-35b15127a63c</vt:lpwstr>
  </property>
  <property fmtid="{D5CDD505-2E9C-101B-9397-08002B2CF9AE}" pid="11" name="MSIP_Label_4fc996bf-6aee-415c-aa4c-e35ad0009c67_ContentBits">
    <vt:lpwstr>2</vt:lpwstr>
  </property>
  <property fmtid="{D5CDD505-2E9C-101B-9397-08002B2CF9AE}" pid="12" name="MSIP_Label_4fc996bf-6aee-415c-aa4c-e35ad0009c67_Tag">
    <vt:lpwstr>10, 3, 0, 1</vt:lpwstr>
  </property>
  <property fmtid="{D5CDD505-2E9C-101B-9397-08002B2CF9AE}" pid="13" name="ContentTypeId">
    <vt:lpwstr>0x010100A8945EED00D1B54998623A824836A551</vt:lpwstr>
  </property>
  <property fmtid="{D5CDD505-2E9C-101B-9397-08002B2CF9AE}" pid="14" name="MediaServiceImageTags">
    <vt:lpwstr/>
  </property>
</Properties>
</file>